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2AEA" w:rsidRDefault="00502AEA" w:rsidP="00502AEA">
      <w:pPr>
        <w:pStyle w:val="Nagwek4"/>
        <w:numPr>
          <w:ilvl w:val="3"/>
          <w:numId w:val="8"/>
        </w:numPr>
        <w:tabs>
          <w:tab w:val="clear" w:pos="360"/>
          <w:tab w:val="num" w:pos="0"/>
        </w:tabs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402"/>
        <w:gridCol w:w="7964"/>
      </w:tblGrid>
      <w:tr w:rsidR="00C5642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ek4"/>
              <w:snapToGrid w:val="0"/>
              <w:spacing w:before="40" w:after="40"/>
            </w:pPr>
            <w:r>
              <w:t>Intellectual property protection</w:t>
            </w:r>
          </w:p>
        </w:tc>
      </w:tr>
    </w:tbl>
    <w:p w:rsidR="00C56429" w:rsidRDefault="00C56429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1.1. Field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A54D16">
            <w:pPr>
              <w:pStyle w:val="Odpowiedzi"/>
              <w:snapToGrid w:val="0"/>
            </w:pPr>
            <w:r>
              <w:t>FIR, INF, ZAZ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1.2. Form and path of study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1.3. Level of education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First-cycle studies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1.4. Study profile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</w:pPr>
            <w:r>
              <w:t>Practical</w:t>
            </w:r>
          </w:p>
        </w:tc>
      </w:tr>
    </w:tbl>
    <w:p w:rsidR="00C56429" w:rsidRDefault="00C56429">
      <w:pPr>
        <w:pStyle w:val="Pytania"/>
        <w:sectPr w:rsidR="00C5642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6"/>
        <w:gridCol w:w="4705"/>
      </w:tblGrid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  <w:tr w:rsidR="00C5642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</w:pPr>
            <w:r>
              <w:t>1.6. Subject Coordinator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1E4953">
            <w:pPr>
              <w:pStyle w:val="Odpowiedzi"/>
              <w:snapToGrid w:val="0"/>
            </w:pPr>
            <w:r>
              <w:t>Mgr Natalia Walczak</w:t>
            </w:r>
          </w:p>
        </w:tc>
      </w:tr>
    </w:tbl>
    <w:p w:rsidR="00C56429" w:rsidRDefault="00C56429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462"/>
        <w:gridCol w:w="4621"/>
      </w:tblGrid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University-wide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1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Polish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IV</w:t>
            </w:r>
          </w:p>
        </w:tc>
      </w:tr>
      <w:tr w:rsidR="00C5642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Odpowiedzi"/>
              <w:snapToGrid w:val="0"/>
            </w:pPr>
            <w:r>
              <w:t>-</w:t>
            </w:r>
          </w:p>
        </w:tc>
      </w:tr>
    </w:tbl>
    <w:p w:rsidR="00C56429" w:rsidRDefault="00C56429">
      <w:pPr>
        <w:pStyle w:val="Punktygwne"/>
        <w:numPr>
          <w:ilvl w:val="0"/>
          <w:numId w:val="5"/>
        </w:numPr>
      </w:pPr>
      <w:r>
        <w:t>Learning outcomes and course delivery</w:t>
      </w:r>
    </w:p>
    <w:p w:rsidR="00C56429" w:rsidRDefault="00C56429">
      <w:pPr>
        <w:pStyle w:val="Podpunkty"/>
        <w:numPr>
          <w:ilvl w:val="1"/>
          <w:numId w:val="5"/>
        </w:numPr>
      </w:pPr>
      <w:r>
        <w:t>Subject Objectives</w:t>
      </w:r>
    </w:p>
    <w:p w:rsidR="00C56429" w:rsidRDefault="00C5642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57"/>
      </w:tblGrid>
      <w:tr w:rsidR="00C56429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No.</w:t>
            </w:r>
          </w:p>
        </w:tc>
        <w:tc>
          <w:tcPr>
            <w:tcW w:w="8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t>Subject Objectives</w:t>
            </w:r>
          </w:p>
        </w:tc>
      </w:tr>
      <w:tr w:rsidR="00C56429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napToGrid w:val="0"/>
              <w:rPr>
                <w:i/>
              </w:rPr>
            </w:pP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To familiarize students with the basic issues and institutions of intellectual property law.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Students will acquire the ability to indicate appropriate legal regulations and the ability to search for appropriate regulations.</w:t>
            </w:r>
          </w:p>
        </w:tc>
      </w:tr>
      <w:tr w:rsidR="00C5642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ntralniewrubryce"/>
            </w:pPr>
            <w:r>
              <w:t>C3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Identifying the main challenges and problems of intellectual property now and in the future, taking into account conditions such as technological developments</w:t>
            </w:r>
          </w:p>
        </w:tc>
      </w:tr>
    </w:tbl>
    <w:p w:rsidR="00C56429" w:rsidRDefault="00C5642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C56429" w:rsidRDefault="00C56429">
      <w:pPr>
        <w:pStyle w:val="Podpunkty"/>
        <w:numPr>
          <w:ilvl w:val="1"/>
          <w:numId w:val="5"/>
        </w:numPr>
        <w:tabs>
          <w:tab w:val="left" w:pos="720"/>
        </w:tabs>
        <w:spacing w:after="60"/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C56429" w:rsidRDefault="00C5642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D27734" w:rsidRPr="00612A96" w:rsidTr="006F55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D27734" w:rsidRDefault="00D27734" w:rsidP="006F55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D27734" w:rsidRPr="00612A96" w:rsidTr="006F55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D27734" w:rsidRPr="00612A96" w:rsidTr="006F55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34" w:rsidRDefault="00D27734" w:rsidP="006F55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734" w:rsidRDefault="00D27734" w:rsidP="006F550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basic knowledge of intellectual property protection, including copyright and industrial property law, needed in </w:t>
            </w:r>
            <w:r>
              <w:rPr>
                <w:sz w:val="20"/>
                <w:szCs w:val="20"/>
              </w:rPr>
              <w:lastRenderedPageBreak/>
              <w:t>professional activity.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FIR_W11</w:t>
            </w:r>
          </w:p>
          <w:p w:rsidR="00A54D16" w:rsidRDefault="00A54D16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INF_W15</w:t>
            </w:r>
          </w:p>
          <w:p w:rsidR="004F5878" w:rsidRDefault="004F5878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Z1_W09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Knows and understands legal institutions relating to intellectual property protection.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Pr="003C3D7C" w:rsidRDefault="00D27734" w:rsidP="006F5506">
            <w:pPr>
              <w:pStyle w:val="wrubryce"/>
              <w:snapToGrid w:val="0"/>
            </w:pPr>
            <w:r w:rsidRPr="003C3D7C">
              <w:t>Is able to choose the type of protection and category for a given intellectual property item.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FIR_U02</w:t>
            </w:r>
          </w:p>
          <w:p w:rsidR="00E27A97" w:rsidRDefault="00E27A97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</w:t>
            </w:r>
          </w:p>
          <w:p w:rsidR="004F5878" w:rsidRDefault="004F5878" w:rsidP="00EC4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napToGrid w:val="0"/>
            </w:pPr>
            <w:r>
              <w:t>Is able to identify the main challenges and problems in the area of intellectual property.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Pr="004179A3" w:rsidRDefault="00D27734" w:rsidP="006F550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27734" w:rsidRPr="00612A96" w:rsidTr="006F55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7734" w:rsidRDefault="00D27734" w:rsidP="006F5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D27734" w:rsidRPr="00612A96" w:rsidTr="006F55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7734" w:rsidRDefault="00D27734" w:rsidP="006F550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7734" w:rsidRDefault="00D27734" w:rsidP="006F5506">
            <w:pPr>
              <w:pStyle w:val="wrubryce"/>
              <w:spacing w:line="256" w:lineRule="auto"/>
            </w:pPr>
            <w:r>
              <w:t>Indication of possible ethical issues that may arise in the area of intellectual property.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A54D16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FIR_K01</w:t>
            </w:r>
          </w:p>
          <w:p w:rsidR="00F07D54" w:rsidRDefault="00F07D54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INF_K05</w:t>
            </w:r>
          </w:p>
          <w:p w:rsidR="004F5878" w:rsidRDefault="004F5878" w:rsidP="00D27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Z1_K06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34" w:rsidRDefault="00D27734" w:rsidP="006F55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D27734" w:rsidRDefault="00D27734" w:rsidP="00D27734">
      <w:pPr>
        <w:pStyle w:val="Tekstpodstawowy"/>
        <w:tabs>
          <w:tab w:val="left" w:pos="-5814"/>
          <w:tab w:val="left" w:pos="2325"/>
        </w:tabs>
        <w:ind w:left="540"/>
        <w:rPr>
          <w:sz w:val="24"/>
        </w:rPr>
      </w:pPr>
    </w:p>
    <w:p w:rsidR="00C56429" w:rsidRDefault="00C56429">
      <w:pPr>
        <w:pStyle w:val="Podpunkty"/>
        <w:spacing w:before="120" w:after="80"/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49"/>
      </w:tblGrid>
      <w:tr w:rsidR="00C5642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C5642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DD2CD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Tekstpodstawowy"/>
        <w:tabs>
          <w:tab w:val="left" w:pos="-5814"/>
        </w:tabs>
      </w:pPr>
    </w:p>
    <w:p w:rsidR="00C56429" w:rsidRDefault="00C56429">
      <w:pPr>
        <w:pStyle w:val="Podpunkty"/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C56429" w:rsidRDefault="00C56429">
      <w:pPr>
        <w:pStyle w:val="Podpunkty"/>
        <w:rPr>
          <w:b w:val="0"/>
        </w:rPr>
      </w:pPr>
    </w:p>
    <w:p w:rsidR="00C56429" w:rsidRDefault="00C56429">
      <w:pPr>
        <w:pStyle w:val="Nagwkitablic"/>
        <w:jc w:val="left"/>
      </w:pPr>
      <w:r>
        <w:t>TYPE OF CLASS: LECTURE</w:t>
      </w:r>
    </w:p>
    <w:p w:rsidR="00C56429" w:rsidRDefault="00C56429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30"/>
      </w:tblGrid>
      <w:tr w:rsidR="00C5642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C5642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C5642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6429" w:rsidRDefault="00C56429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wrubryce"/>
              <w:spacing w:before="0" w:after="60"/>
              <w:jc w:val="left"/>
            </w:pPr>
            <w:r>
              <w:rPr>
                <w:spacing w:val="-6"/>
              </w:rPr>
              <w:t>Introduction to Intellectual Property Issues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D052CE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subject of law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legal entity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1217B5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Copyright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- personal and property copyrights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contracts</w:t>
            </w:r>
          </w:p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  <w:r>
              <w:rPr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related rights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lastRenderedPageBreak/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D2CD8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pacing w:line="254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before="40" w:after="6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Industrial Property Law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inventions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utility models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industrial designs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trademarks</w:t>
            </w:r>
          </w:p>
          <w:p w:rsidR="00DD2CD8" w:rsidRDefault="00DD2CD8" w:rsidP="00DD2CD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 geographical indications</w:t>
            </w:r>
          </w:p>
          <w:p w:rsidR="00DD2CD8" w:rsidRDefault="00DD2CD8" w:rsidP="00DD2CD8">
            <w:pPr>
              <w:pStyle w:val="wrubryce"/>
              <w:snapToGrid w:val="0"/>
              <w:spacing w:before="0" w:after="0"/>
              <w:jc w:val="left"/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integrated circuit topographies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Pr="009B7BA9" w:rsidRDefault="00DD2CD8" w:rsidP="00D27734">
            <w:pPr>
              <w:pStyle w:val="Nagwkitablic"/>
              <w:snapToGrid w:val="0"/>
              <w:spacing w:line="254" w:lineRule="auto"/>
              <w:rPr>
                <w:b w:val="0"/>
              </w:rPr>
            </w:pPr>
            <w:r w:rsidRPr="009B7BA9">
              <w:rPr>
                <w:b w:val="0"/>
              </w:rPr>
              <w:t>W1, 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604724" w:rsidP="00DD2CD8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D27734" w:rsidTr="009B7BA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 w:rsidRPr="004526A0">
              <w:rPr>
                <w:rFonts w:eastAsia="Times New Roman"/>
                <w:sz w:val="20"/>
                <w:szCs w:val="20"/>
                <w:lang w:eastAsia="pl-PL"/>
              </w:rPr>
              <w:t>Debate on the main institutions, challenges and issues in the field of intellectual property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  <w:r w:rsidRPr="0095273F">
              <w:rPr>
                <w:b w:val="0"/>
              </w:rPr>
              <w:t>U1,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D27734" w:rsidTr="006F550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4526A0" w:rsidRDefault="00D27734" w:rsidP="00D2773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Final test – discussion of students' work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Pr="0095273F" w:rsidRDefault="00D27734" w:rsidP="00D27734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734" w:rsidRDefault="00D27734" w:rsidP="00D27734">
            <w:pPr>
              <w:pStyle w:val="Nagwkitablic"/>
              <w:spacing w:line="256" w:lineRule="auto"/>
            </w:pPr>
          </w:p>
        </w:tc>
      </w:tr>
    </w:tbl>
    <w:p w:rsidR="00C56429" w:rsidRDefault="00C56429">
      <w:pPr>
        <w:pStyle w:val="tekst"/>
        <w:ind w:left="0"/>
      </w:pPr>
    </w:p>
    <w:p w:rsidR="00C56429" w:rsidRDefault="00C56429">
      <w:pPr>
        <w:pStyle w:val="tekst"/>
      </w:pPr>
    </w:p>
    <w:p w:rsidR="00C56429" w:rsidRDefault="00C56429">
      <w:pPr>
        <w:pStyle w:val="Podpunkty"/>
        <w:spacing w:after="60"/>
        <w:ind w:left="0"/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Pr="003C3D7C" w:rsidRDefault="00D27734" w:rsidP="006F5506">
      <w:pPr>
        <w:pStyle w:val="Podpunkty"/>
        <w:spacing w:after="60"/>
        <w:ind w:left="0"/>
        <w:rPr>
          <w:b w:val="0"/>
        </w:rPr>
      </w:pPr>
      <w:r w:rsidRPr="003C3D7C">
        <w:rPr>
          <w:b w:val="0"/>
        </w:rPr>
        <w:t>A final test consisting of 10 multiple choice questions (for each correct answer the student receives 2 points). It covers only the topics indicated in the syllabus. Test score: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Grade 3 (sufficient): 51 – 60% </w:t>
      </w:r>
      <w:r w:rsidRPr="00A219A2">
        <w:rPr>
          <w:sz w:val="22"/>
        </w:rPr>
        <w:tab/>
      </w:r>
      <w:r w:rsidRPr="00A219A2">
        <w:rPr>
          <w:sz w:val="22"/>
        </w:rPr>
        <w:tab/>
        <w:t>11 – 12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3.5 (sufficient plus): 61 – 70% </w:t>
      </w:r>
      <w:r w:rsidRPr="00A219A2">
        <w:rPr>
          <w:sz w:val="22"/>
        </w:rPr>
        <w:tab/>
      </w:r>
      <w:r>
        <w:rPr>
          <w:sz w:val="22"/>
        </w:rPr>
        <w:tab/>
      </w:r>
      <w:r w:rsidRPr="00A219A2">
        <w:rPr>
          <w:sz w:val="22"/>
        </w:rPr>
        <w:t>13 – 14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 (good): 71 – 80% </w:t>
      </w:r>
      <w:r w:rsidRPr="00A219A2">
        <w:rPr>
          <w:sz w:val="22"/>
        </w:rPr>
        <w:tab/>
      </w:r>
      <w:r w:rsidRPr="00A219A2">
        <w:rPr>
          <w:sz w:val="22"/>
        </w:rPr>
        <w:tab/>
      </w:r>
      <w:r w:rsidRPr="00A219A2">
        <w:rPr>
          <w:sz w:val="22"/>
        </w:rPr>
        <w:tab/>
        <w:t>15 – 16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4.5 (good plus) 81 – 90% </w:t>
      </w:r>
      <w:r w:rsidRPr="00A219A2">
        <w:rPr>
          <w:sz w:val="22"/>
        </w:rPr>
        <w:tab/>
      </w:r>
      <w:r w:rsidRPr="00A219A2">
        <w:rPr>
          <w:sz w:val="22"/>
        </w:rPr>
        <w:tab/>
        <w:t>17 – 18 points</w:t>
      </w:r>
    </w:p>
    <w:p w:rsidR="00D27734" w:rsidRPr="00A219A2" w:rsidRDefault="00D27734" w:rsidP="006F5506">
      <w:pPr>
        <w:pStyle w:val="Akapitzlist"/>
        <w:rPr>
          <w:sz w:val="22"/>
        </w:rPr>
      </w:pPr>
      <w:r w:rsidRPr="00A219A2">
        <w:rPr>
          <w:sz w:val="22"/>
        </w:rPr>
        <w:t xml:space="preserve">Rating 5 (very good): 91 – 100% </w:t>
      </w:r>
      <w:r w:rsidRPr="00A219A2">
        <w:rPr>
          <w:sz w:val="22"/>
        </w:rPr>
        <w:tab/>
      </w:r>
      <w:r w:rsidRPr="00A219A2">
        <w:rPr>
          <w:sz w:val="22"/>
        </w:rPr>
        <w:tab/>
        <w:t>19 – 20 points</w:t>
      </w:r>
    </w:p>
    <w:p w:rsidR="00D27734" w:rsidRDefault="00D27734" w:rsidP="006F5506">
      <w:pPr>
        <w:pStyle w:val="Akapitzlist"/>
      </w:pPr>
    </w:p>
    <w:p w:rsidR="00D27734" w:rsidRDefault="00D27734" w:rsidP="006F5506">
      <w:pPr>
        <w:pStyle w:val="Akapitzlist"/>
        <w:ind w:left="0"/>
        <w:rPr>
          <w:sz w:val="22"/>
        </w:rPr>
      </w:pPr>
      <w:r w:rsidRPr="003C3D7C">
        <w:rPr>
          <w:sz w:val="22"/>
        </w:rPr>
        <w:t>The test covers the following topics: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Basic concepts and definitions (intellectual property and its main types; the difference between copyright and industrial property law; trademark, patent, industrial design and trade secret).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Copyright (rights granted to creators of works under copyright law; permitted use of works and its limitations; right to remuneration in the context of copyright law).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Industrial property law (basic criteria for obtaining a patent; benefits of patent protection; differences between a trademark and an industrial design; trademark registration procedure in Poland and at the European Union level).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Institutions dealing with the protection of intellectual property in Poland and around the world.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Selecting the appropriate type of protection (criteria for selecting the appropriate type of protection for a specific intellectual property subject).</w:t>
      </w:r>
    </w:p>
    <w:p w:rsidR="00D27734" w:rsidRPr="00CE45CF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Searching for appropriate legal regulations (regulations regarding the protection of intellectual property in Poland; sources of international law regarding intellectual property).</w:t>
      </w:r>
    </w:p>
    <w:p w:rsidR="00D27734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Intellectual property challenges and issues.</w:t>
      </w:r>
    </w:p>
    <w:p w:rsidR="00D27734" w:rsidRPr="00A219A2" w:rsidRDefault="00D27734" w:rsidP="00D27734">
      <w:pPr>
        <w:pStyle w:val="Akapitzlist"/>
        <w:numPr>
          <w:ilvl w:val="0"/>
          <w:numId w:val="7"/>
        </w:numPr>
        <w:ind w:left="426"/>
        <w:rPr>
          <w:sz w:val="22"/>
        </w:rPr>
      </w:pPr>
      <w:r w:rsidRPr="00CE45CF">
        <w:rPr>
          <w:sz w:val="22"/>
        </w:rPr>
        <w:t>Ethics and Intellectual Property: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D27734" w:rsidRPr="0056413D" w:rsidTr="006F550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D27734" w:rsidRPr="00D052CE" w:rsidRDefault="00D27734" w:rsidP="006F5506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U1-U2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  <w:tr w:rsidR="00D27734" w:rsidTr="006F5506">
        <w:tc>
          <w:tcPr>
            <w:tcW w:w="9062" w:type="dxa"/>
            <w:gridSpan w:val="4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D27734" w:rsidRPr="0056413D" w:rsidTr="006F5506">
        <w:tc>
          <w:tcPr>
            <w:tcW w:w="1427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D27734" w:rsidRPr="007D5D01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>
              <w:rPr>
                <w:b w:val="0"/>
                <w:sz w:val="20"/>
                <w:lang w:eastAsia="pl-PL"/>
              </w:rPr>
              <w:t>Lecture with the use of multimedia presentation, debate.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Final Test (described above).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D27734" w:rsidRPr="005634F5" w:rsidRDefault="00D27734" w:rsidP="006F5506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 questionnaire with assessment information.</w:t>
            </w:r>
          </w:p>
        </w:tc>
      </w:tr>
    </w:tbl>
    <w:p w:rsidR="00C56429" w:rsidRDefault="00C56429">
      <w:pPr>
        <w:pStyle w:val="Podpunkty"/>
        <w:spacing w:after="60"/>
        <w:ind w:left="0"/>
        <w:rPr>
          <w:b w:val="0"/>
        </w:rPr>
      </w:pPr>
    </w:p>
    <w:p w:rsidR="00D27734" w:rsidRDefault="00D27734">
      <w:pPr>
        <w:pStyle w:val="Podpunkty"/>
        <w:spacing w:after="60"/>
        <w:ind w:left="0"/>
        <w:rPr>
          <w:b w:val="0"/>
        </w:rPr>
      </w:pPr>
    </w:p>
    <w:p w:rsidR="00C56429" w:rsidRDefault="00C56429">
      <w:pPr>
        <w:pStyle w:val="Podpunkty"/>
        <w:spacing w:after="80"/>
        <w:ind w:left="0"/>
      </w:pPr>
      <w:r>
        <w:t>3.6. Assessment criteria for the achieved learning outcomes</w:t>
      </w:r>
    </w:p>
    <w:p w:rsidR="00C56429" w:rsidRDefault="00C56429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A49DA" w:rsidTr="00C03BB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9DA" w:rsidRPr="005D23CD" w:rsidRDefault="001A49DA" w:rsidP="00C03BB1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923D05" w:rsidP="00C03BB1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923D05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49DA" w:rsidTr="00C03BB1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Default="001A49DA" w:rsidP="00C03BB1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D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9DA" w:rsidRPr="00F02F1A" w:rsidRDefault="001A49DA" w:rsidP="00C03BB1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1A49DA" w:rsidRDefault="001A49DA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Tekstpodstawowy"/>
        <w:tabs>
          <w:tab w:val="left" w:pos="-5814"/>
        </w:tabs>
        <w:ind w:left="540"/>
      </w:pPr>
    </w:p>
    <w:p w:rsidR="00C56429" w:rsidRDefault="00C56429">
      <w:pPr>
        <w:pStyle w:val="Podpunkty"/>
        <w:spacing w:before="120"/>
        <w:ind w:left="357"/>
      </w:pPr>
      <w:r>
        <w:t xml:space="preserve">3.7. </w:t>
      </w:r>
      <w:r w:rsidR="00923D05">
        <w:t>Literature</w:t>
      </w:r>
    </w:p>
    <w:p w:rsidR="00C56429" w:rsidRDefault="00C56429">
      <w:pPr>
        <w:pStyle w:val="Tekstpodstawowy"/>
        <w:tabs>
          <w:tab w:val="left" w:pos="-5814"/>
        </w:tabs>
        <w:spacing w:before="120"/>
        <w:ind w:left="357"/>
      </w:pPr>
      <w:r>
        <w:rPr>
          <w:b/>
          <w:sz w:val="22"/>
        </w:rPr>
        <w:t>Basic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K. Czub, Prawo własności intelektualnej. Zarys wykładu, Warszawa 2016 r. 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>Poźniak-Niedzielska M., Prawo autorskie: zarys problematyki, Wolters Kluwer, Warszawa, 2020</w:t>
      </w:r>
    </w:p>
    <w:p w:rsidR="00B43B62" w:rsidRDefault="00B43B62" w:rsidP="00B43B62">
      <w:pPr>
        <w:numPr>
          <w:ilvl w:val="0"/>
          <w:numId w:val="4"/>
        </w:numPr>
        <w:autoSpaceDE w:val="0"/>
        <w:spacing w:after="0" w:line="360" w:lineRule="auto"/>
        <w:jc w:val="both"/>
      </w:pPr>
      <w:r>
        <w:rPr>
          <w:sz w:val="20"/>
          <w:szCs w:val="20"/>
        </w:rPr>
        <w:t>Golat R.,</w:t>
      </w:r>
      <w:r>
        <w:t xml:space="preserve"> </w:t>
      </w:r>
      <w:r>
        <w:rPr>
          <w:sz w:val="20"/>
          <w:szCs w:val="20"/>
        </w:rPr>
        <w:t>Prawo autorskie i prawa pokrewne, Wyd. C.H. Beck, Warszawa, 2018</w:t>
      </w:r>
    </w:p>
    <w:p w:rsidR="00C56429" w:rsidRDefault="00C56429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  <w:szCs w:val="20"/>
        </w:rPr>
      </w:pPr>
    </w:p>
    <w:p w:rsidR="00C56429" w:rsidRDefault="00923D05">
      <w:pPr>
        <w:spacing w:before="120" w:after="0" w:line="240" w:lineRule="auto"/>
        <w:ind w:left="357"/>
      </w:pPr>
      <w:r>
        <w:rPr>
          <w:b/>
          <w:sz w:val="22"/>
        </w:rPr>
        <w:t>Sup</w:t>
      </w:r>
      <w:r w:rsidR="00C56429">
        <w:rPr>
          <w:b/>
          <w:sz w:val="22"/>
        </w:rPr>
        <w:t>plementary</w:t>
      </w:r>
    </w:p>
    <w:p w:rsidR="00B43B62" w:rsidRDefault="00B43B62" w:rsidP="00B43B62">
      <w:pPr>
        <w:numPr>
          <w:ilvl w:val="0"/>
          <w:numId w:val="3"/>
        </w:numPr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J. Banasiuk, J. Sieńczyło – Chlabicz, Prawo własności intelektualnej, Warszawa 2015 r. </w:t>
      </w:r>
    </w:p>
    <w:p w:rsidR="00B43B62" w:rsidRDefault="00B43B62" w:rsidP="00B43B62">
      <w:pPr>
        <w:numPr>
          <w:ilvl w:val="0"/>
          <w:numId w:val="3"/>
        </w:numPr>
        <w:tabs>
          <w:tab w:val="left" w:pos="-5814"/>
        </w:tabs>
        <w:autoSpaceDE w:val="0"/>
        <w:spacing w:after="0" w:line="360" w:lineRule="auto"/>
        <w:jc w:val="both"/>
      </w:pPr>
      <w:r>
        <w:rPr>
          <w:color w:val="000000"/>
          <w:sz w:val="20"/>
          <w:szCs w:val="20"/>
          <w:lang w:eastAsia="en-US"/>
        </w:rPr>
        <w:t xml:space="preserve">M. Kobylański, Prawo Własności Przemysłowej, Warszawa </w:t>
      </w:r>
      <w:r>
        <w:rPr>
          <w:caps/>
          <w:color w:val="000000"/>
          <w:sz w:val="20"/>
          <w:szCs w:val="20"/>
          <w:lang w:eastAsia="en-US"/>
        </w:rPr>
        <w:t xml:space="preserve">2013 </w:t>
      </w:r>
      <w:r>
        <w:rPr>
          <w:color w:val="000000"/>
          <w:sz w:val="20"/>
          <w:szCs w:val="20"/>
          <w:lang w:eastAsia="en-US"/>
        </w:rPr>
        <w:t>r</w:t>
      </w:r>
      <w:bookmarkStart w:id="0" w:name="_GoBack"/>
      <w:bookmarkEnd w:id="0"/>
    </w:p>
    <w:p w:rsidR="00C56429" w:rsidRDefault="00C56429">
      <w:pPr>
        <w:pStyle w:val="Punktygwne"/>
      </w:pPr>
      <w:r>
        <w:t>4. Student workload - ECTS points balance</w:t>
      </w: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14"/>
      </w:tblGrid>
      <w:tr w:rsidR="00C5642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C5642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429" w:rsidRDefault="00C56429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DD2CD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2CD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DD2CD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CD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DD2CD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2CD8" w:rsidRDefault="00DD2CD8" w:rsidP="00DD2CD8">
            <w:pPr>
              <w:pStyle w:val="Default"/>
              <w:snapToGrid w:val="0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D135E7" w:rsidTr="00D135E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E7" w:rsidRDefault="00D135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C56429" w:rsidRDefault="00C56429">
      <w:pPr>
        <w:pStyle w:val="Kolorowalistaakcent11"/>
        <w:tabs>
          <w:tab w:val="left" w:pos="1907"/>
        </w:tabs>
        <w:spacing w:after="0" w:line="240" w:lineRule="auto"/>
      </w:pPr>
    </w:p>
    <w:sectPr w:rsidR="00C56429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09" w:rsidRDefault="00160C09">
      <w:pPr>
        <w:spacing w:after="0" w:line="240" w:lineRule="auto"/>
      </w:pPr>
      <w:r>
        <w:separator/>
      </w:r>
    </w:p>
  </w:endnote>
  <w:endnote w:type="continuationSeparator" w:id="0">
    <w:p w:rsidR="00160C09" w:rsidRDefault="0016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2C565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429" w:rsidRDefault="00C564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43B6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stroked="f">
              <v:fill opacity="0"/>
              <v:textbox inset=".05pt,.05pt,.05pt,.05pt">
                <w:txbxContent>
                  <w:p w:rsidR="00C56429" w:rsidRDefault="00C564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43B6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09" w:rsidRDefault="00160C09">
      <w:pPr>
        <w:spacing w:after="0" w:line="240" w:lineRule="auto"/>
      </w:pPr>
      <w:r>
        <w:separator/>
      </w:r>
    </w:p>
  </w:footnote>
  <w:footnote w:type="continuationSeparator" w:id="0">
    <w:p w:rsidR="00160C09" w:rsidRDefault="0016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29" w:rsidRDefault="00C56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  <w:szCs w:val="18"/>
      </w:rPr>
    </w:lvl>
  </w:abstractNum>
  <w:abstractNum w:abstractNumId="5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07C4"/>
    <w:multiLevelType w:val="hybridMultilevel"/>
    <w:tmpl w:val="0D480822"/>
    <w:lvl w:ilvl="0" w:tplc="732C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9"/>
    <w:rsid w:val="00004697"/>
    <w:rsid w:val="000122B1"/>
    <w:rsid w:val="00027711"/>
    <w:rsid w:val="0013684C"/>
    <w:rsid w:val="00160C09"/>
    <w:rsid w:val="001969E4"/>
    <w:rsid w:val="001A49DA"/>
    <w:rsid w:val="001C103D"/>
    <w:rsid w:val="001E4953"/>
    <w:rsid w:val="00220F1E"/>
    <w:rsid w:val="00260A79"/>
    <w:rsid w:val="002C5659"/>
    <w:rsid w:val="002D6C76"/>
    <w:rsid w:val="00314926"/>
    <w:rsid w:val="00334368"/>
    <w:rsid w:val="003600EC"/>
    <w:rsid w:val="003A551C"/>
    <w:rsid w:val="00421B2F"/>
    <w:rsid w:val="004F5878"/>
    <w:rsid w:val="00502AEA"/>
    <w:rsid w:val="00556B1D"/>
    <w:rsid w:val="00577315"/>
    <w:rsid w:val="00604724"/>
    <w:rsid w:val="00694483"/>
    <w:rsid w:val="006F5506"/>
    <w:rsid w:val="007928B5"/>
    <w:rsid w:val="007D4842"/>
    <w:rsid w:val="007F7863"/>
    <w:rsid w:val="00923D05"/>
    <w:rsid w:val="009B7BA9"/>
    <w:rsid w:val="00A54D16"/>
    <w:rsid w:val="00B43B62"/>
    <w:rsid w:val="00BB61D1"/>
    <w:rsid w:val="00BF3CE0"/>
    <w:rsid w:val="00C03BB1"/>
    <w:rsid w:val="00C56429"/>
    <w:rsid w:val="00D135E7"/>
    <w:rsid w:val="00D27734"/>
    <w:rsid w:val="00D61878"/>
    <w:rsid w:val="00DD2CD8"/>
    <w:rsid w:val="00E05D94"/>
    <w:rsid w:val="00E27A97"/>
    <w:rsid w:val="00E31912"/>
    <w:rsid w:val="00EC40B1"/>
    <w:rsid w:val="00F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B2C1A15"/>
  <w15:chartTrackingRefBased/>
  <w15:docId w15:val="{BBC60022-D36E-439F-8E15-4E52059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color w:val="000000"/>
      <w:sz w:val="20"/>
      <w:szCs w:val="20"/>
      <w:lang w:val="en"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OpenSymbol" w:hAnsi="OpenSymbol" w:cs="Open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eastAsia="Times New Roman" w:hint="default"/>
      <w:b/>
      <w:sz w:val="22"/>
      <w:szCs w:val="18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OpenSymbol" w:hAnsi="OpenSymbol" w:cs="Open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2">
    <w:name w:val="Odwołanie do komentarza2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556B1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56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6B1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6B1D"/>
    <w:rPr>
      <w:rFonts w:eastAsia="Calibri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1995-11-21T16:41:00Z</cp:lastPrinted>
  <dcterms:created xsi:type="dcterms:W3CDTF">2024-11-15T10:26:00Z</dcterms:created>
  <dcterms:modified xsi:type="dcterms:W3CDTF">2024-12-23T09:48:00Z</dcterms:modified>
</cp:coreProperties>
</file>