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25" w:rsidRPr="00684325" w:rsidRDefault="00684325" w:rsidP="00684325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84325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684325" w:rsidRPr="00684325" w:rsidTr="00684325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9E759A" w:rsidP="00684325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9E7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Occupational Health and Safety</w:t>
            </w:r>
          </w:p>
        </w:tc>
      </w:tr>
    </w:tbl>
    <w:p w:rsidR="00684325" w:rsidRPr="00684325" w:rsidRDefault="00684325" w:rsidP="00684325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84325" w:rsidRPr="00684325" w:rsidTr="00684325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ADM, FIR, MID, PG, PS, PW, STM, ZAZ, SOC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84325" w:rsidRPr="00684325" w:rsidTr="00684325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84325" w:rsidRPr="00684325" w:rsidTr="00684325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9E759A" w:rsidRDefault="009E759A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>Mgr</w:t>
            </w:r>
            <w:proofErr w:type="spellEnd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 xml:space="preserve"> Anna </w:t>
            </w:r>
            <w:proofErr w:type="spellStart"/>
            <w:r w:rsidRPr="009E7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" w:eastAsia="pl-PL"/>
              </w:rPr>
              <w:t>Rozwadowska-Miziuła</w:t>
            </w:r>
            <w:proofErr w:type="spellEnd"/>
          </w:p>
        </w:tc>
      </w:tr>
    </w:tbl>
    <w:p w:rsidR="00684325" w:rsidRPr="00684325" w:rsidRDefault="00684325" w:rsidP="00684325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684325" w:rsidRPr="00684325" w:rsidTr="00684325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University-wide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0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94778C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Eng</w:t>
            </w:r>
            <w:r w:rsidR="00684325"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lish</w:t>
            </w:r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6843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94778C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I</w:t>
            </w:r>
            <w:bookmarkStart w:id="0" w:name="_GoBack"/>
            <w:bookmarkEnd w:id="0"/>
          </w:p>
        </w:tc>
      </w:tr>
      <w:tr w:rsidR="00684325" w:rsidRPr="00684325" w:rsidTr="00684325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684325" w:rsidRPr="00684325" w:rsidRDefault="00684325" w:rsidP="00684325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684325" w:rsidRPr="00684325" w:rsidRDefault="00684325" w:rsidP="0068432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684325" w:rsidRPr="00684325" w:rsidTr="00684325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684325" w:rsidRPr="00684325" w:rsidTr="00684325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Equipping students with knowledge in the field of occupational health and safety.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Acquisition by students of knowledge about harmful factors of the work environment and their classification, as well as personal protective equipment and its intended use.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4325" w:rsidRPr="00684325" w:rsidTr="00684325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Getting to know the principles of fire protection and the principles of providing first aid to the injured.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4325" w:rsidRPr="00684325" w:rsidRDefault="00684325" w:rsidP="00684325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50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82"/>
        <w:gridCol w:w="1128"/>
        <w:gridCol w:w="940"/>
        <w:gridCol w:w="869"/>
        <w:gridCol w:w="940"/>
        <w:gridCol w:w="869"/>
      </w:tblGrid>
      <w:tr w:rsidR="00684325" w:rsidRPr="00684325" w:rsidTr="00684325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4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84325" w:rsidRPr="00684325" w:rsidTr="00684325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84325" w:rsidRPr="00684325" w:rsidTr="00684325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84325" w:rsidRPr="00684325" w:rsidTr="00684325">
        <w:trPr>
          <w:trHeight w:val="376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completing the course, the 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Harmful factors of the working environment and their classification.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ADM_W10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FIR_W11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MID_W13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PPW_W25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PS_W12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PW_W09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STM_W16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SOC1_W12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Z1_W09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knowledge of the personal protective equipment and its purpose.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knowledge of the appropriate explanation of occupational hygiene.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Definition, types and components of ergonomics.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Principles of fire protection.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W6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He has knowledge of first aid to the injured.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6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684325" w:rsidRPr="00684325" w:rsidTr="00684325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Responsible and conscious observance and application of occupational health and safety rules during studies and at work.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ADM_K01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FIR_K01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MID_K01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PPW_K01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PS_K08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PW_K04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STM_K01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SOC1_K06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6"/>
                <w:szCs w:val="16"/>
                <w:lang w:val="en" w:eastAsia="pl-PL"/>
              </w:rPr>
              <w:t>Z1_K06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84325" w:rsidRPr="00684325" w:rsidRDefault="00684325" w:rsidP="00684325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39"/>
        <w:gridCol w:w="866"/>
        <w:gridCol w:w="824"/>
        <w:gridCol w:w="1027"/>
        <w:gridCol w:w="1106"/>
        <w:gridCol w:w="866"/>
        <w:gridCol w:w="977"/>
        <w:gridCol w:w="1465"/>
        <w:gridCol w:w="676"/>
        <w:gridCol w:w="802"/>
      </w:tblGrid>
      <w:tr w:rsidR="00684325" w:rsidRPr="00684325" w:rsidTr="00684325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conducted with the use of distance learning methods and techniques in the form of a lecture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684325" w:rsidRPr="00684325" w:rsidTr="00684325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0</w:t>
            </w:r>
          </w:p>
        </w:tc>
      </w:tr>
      <w:tr w:rsidR="00684325" w:rsidRPr="00684325" w:rsidTr="00684325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0</w:t>
            </w:r>
          </w:p>
        </w:tc>
      </w:tr>
    </w:tbl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684325" w:rsidRPr="00684325" w:rsidRDefault="00684325" w:rsidP="006843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684325" w:rsidRPr="00684325" w:rsidRDefault="00684325" w:rsidP="006843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LECTURE</w:t>
      </w:r>
    </w:p>
    <w:p w:rsidR="00684325" w:rsidRPr="00684325" w:rsidRDefault="00684325" w:rsidP="00684325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591"/>
        <w:gridCol w:w="1157"/>
        <w:gridCol w:w="940"/>
        <w:gridCol w:w="830"/>
        <w:gridCol w:w="940"/>
        <w:gridCol w:w="830"/>
      </w:tblGrid>
      <w:tr w:rsidR="00684325" w:rsidRPr="00684325" w:rsidTr="00684325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84325" w:rsidRPr="00684325" w:rsidTr="0068432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84325" w:rsidRPr="00684325" w:rsidTr="00684325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84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Introduction to occupational health and safety – accidents at work.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Harmful factors – personal protective equipment.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W1, W2,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Definition, types and components of ergonomics.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W4,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Fire protection.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W5,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First aid.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W6,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  <w:tr w:rsidR="00684325" w:rsidRPr="00684325" w:rsidTr="00684325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Summary and discussion of the class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84325" w:rsidRPr="00684325" w:rsidRDefault="00684325" w:rsidP="00684325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verification of learning outcomes </w:t>
      </w:r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(indication and description of methods of conducting classes and verification of the achievement of learning outcomes, e.g. debate, case study, preparation and </w:t>
      </w:r>
      <w:proofErr w:type="spellStart"/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>defence</w:t>
      </w:r>
      <w:proofErr w:type="spellEnd"/>
      <w:r w:rsidRPr="00684325">
        <w:rPr>
          <w:rFonts w:ascii="Times New Roman" w:eastAsia="Times New Roman" w:hAnsi="Times New Roman" w:cs="Times New Roman"/>
          <w:color w:val="000000"/>
          <w:lang w:val="en" w:eastAsia="pl-PL"/>
        </w:rPr>
        <w:t xml:space="preserve"> of the project, complex multimedia presentation, solving problem tasks, simulations of situations, study visit, simulation games + description of a given method):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1"/>
        <w:gridCol w:w="2537"/>
        <w:gridCol w:w="2559"/>
      </w:tblGrid>
      <w:tr w:rsidR="00684325" w:rsidRPr="00684325" w:rsidTr="00684325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684325" w:rsidRPr="00684325" w:rsidTr="00684325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684325" w:rsidRPr="00684325" w:rsidTr="0068432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Passing without grade.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Test: 20 questions of 1 point each = 20 points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 from 51% – 11 points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 sheet</w:t>
            </w:r>
          </w:p>
        </w:tc>
      </w:tr>
      <w:tr w:rsidR="00684325" w:rsidRPr="00684325" w:rsidTr="00684325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684325" w:rsidRPr="00684325" w:rsidTr="00684325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Passing without grade.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Test: 20 questions of 1 point each = 20 points</w:t>
            </w:r>
          </w:p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Pass: from 51% – 11 points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Test sheet</w:t>
            </w:r>
          </w:p>
        </w:tc>
      </w:tr>
    </w:tbl>
    <w:p w:rsidR="00684325" w:rsidRPr="00684325" w:rsidRDefault="00684325" w:rsidP="00684325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212121"/>
          <w:lang w:eastAsia="pl-PL"/>
        </w:rPr>
        <w:t> </w:t>
      </w:r>
    </w:p>
    <w:p w:rsidR="00684325" w:rsidRPr="00684325" w:rsidRDefault="00684325" w:rsidP="0068432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84325" w:rsidRPr="00684325" w:rsidRDefault="00684325" w:rsidP="00684325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36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759"/>
        <w:gridCol w:w="1760"/>
        <w:gridCol w:w="1760"/>
        <w:gridCol w:w="1760"/>
        <w:gridCol w:w="1760"/>
      </w:tblGrid>
      <w:tr w:rsidR="00684325" w:rsidRPr="00684325" w:rsidTr="00684325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56060C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56060C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684325" w:rsidRPr="00684325" w:rsidTr="00684325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325" w:rsidRPr="00684325" w:rsidRDefault="00684325" w:rsidP="006843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684325" w:rsidRPr="00684325" w:rsidRDefault="00684325" w:rsidP="00684325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84325" w:rsidRPr="00684325" w:rsidRDefault="00684325" w:rsidP="0068432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F711A1" w:rsidRPr="009E759A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684325" w:rsidRPr="00684325" w:rsidRDefault="00684325" w:rsidP="0068432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9E759A" w:rsidRPr="009C464C" w:rsidRDefault="009E759A" w:rsidP="009E759A">
      <w:pPr>
        <w:pStyle w:val="Podpunkty"/>
        <w:numPr>
          <w:ilvl w:val="0"/>
          <w:numId w:val="2"/>
        </w:numPr>
        <w:spacing w:before="120"/>
        <w:rPr>
          <w:b w:val="0"/>
          <w:sz w:val="18"/>
          <w:szCs w:val="18"/>
        </w:rPr>
      </w:pPr>
      <w:proofErr w:type="spellStart"/>
      <w:r w:rsidRPr="009C464C">
        <w:rPr>
          <w:b w:val="0"/>
          <w:sz w:val="18"/>
          <w:szCs w:val="18"/>
        </w:rPr>
        <w:t>Janiga</w:t>
      </w:r>
      <w:proofErr w:type="spellEnd"/>
      <w:r w:rsidRPr="009C464C">
        <w:rPr>
          <w:b w:val="0"/>
          <w:sz w:val="18"/>
          <w:szCs w:val="18"/>
        </w:rPr>
        <w:t>, Jan, Ergonomia i fizjologia pracy, Stowarzyszenie "</w:t>
      </w:r>
      <w:proofErr w:type="spellStart"/>
      <w:r w:rsidRPr="009C464C">
        <w:rPr>
          <w:b w:val="0"/>
          <w:sz w:val="18"/>
          <w:szCs w:val="18"/>
        </w:rPr>
        <w:t>Współnota</w:t>
      </w:r>
      <w:proofErr w:type="spellEnd"/>
      <w:r w:rsidRPr="009C464C">
        <w:rPr>
          <w:b w:val="0"/>
          <w:sz w:val="18"/>
          <w:szCs w:val="18"/>
        </w:rPr>
        <w:t xml:space="preserve"> Akademicka", Legnica 2014.</w:t>
      </w:r>
    </w:p>
    <w:p w:rsidR="009E759A" w:rsidRDefault="009E759A" w:rsidP="009E759A">
      <w:pPr>
        <w:pStyle w:val="Podpunkty"/>
        <w:numPr>
          <w:ilvl w:val="0"/>
          <w:numId w:val="2"/>
        </w:numPr>
        <w:spacing w:before="120"/>
        <w:rPr>
          <w:b w:val="0"/>
          <w:sz w:val="18"/>
          <w:szCs w:val="18"/>
        </w:rPr>
      </w:pPr>
      <w:proofErr w:type="spellStart"/>
      <w:r w:rsidRPr="009C464C">
        <w:rPr>
          <w:b w:val="0"/>
          <w:sz w:val="18"/>
          <w:szCs w:val="18"/>
        </w:rPr>
        <w:t>Rączkowski</w:t>
      </w:r>
      <w:proofErr w:type="spellEnd"/>
      <w:r w:rsidRPr="009C464C">
        <w:rPr>
          <w:b w:val="0"/>
          <w:sz w:val="18"/>
          <w:szCs w:val="18"/>
        </w:rPr>
        <w:t>, Bo</w:t>
      </w:r>
      <w:r w:rsidRPr="00DA53A1">
        <w:rPr>
          <w:b w:val="0"/>
          <w:sz w:val="18"/>
          <w:szCs w:val="18"/>
        </w:rPr>
        <w:t xml:space="preserve">gdan. BHP w praktyce, </w:t>
      </w:r>
      <w:r w:rsidRPr="009C464C">
        <w:rPr>
          <w:b w:val="0"/>
          <w:sz w:val="18"/>
          <w:szCs w:val="18"/>
        </w:rPr>
        <w:t xml:space="preserve">Ośrodek Doradztwa i Doskonalenia Kadr, </w:t>
      </w:r>
      <w:r w:rsidRPr="00DA53A1">
        <w:rPr>
          <w:b w:val="0"/>
          <w:sz w:val="18"/>
          <w:szCs w:val="18"/>
        </w:rPr>
        <w:t xml:space="preserve">Gdańsk </w:t>
      </w:r>
      <w:r w:rsidRPr="009C464C">
        <w:rPr>
          <w:b w:val="0"/>
          <w:sz w:val="18"/>
          <w:szCs w:val="18"/>
        </w:rPr>
        <w:t>2010.</w:t>
      </w:r>
    </w:p>
    <w:p w:rsidR="009E759A" w:rsidRPr="009E759A" w:rsidRDefault="009E759A" w:rsidP="009E759A">
      <w:pPr>
        <w:numPr>
          <w:ilvl w:val="0"/>
          <w:numId w:val="2"/>
        </w:numPr>
        <w:tabs>
          <w:tab w:val="left" w:pos="-5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spellStart"/>
      <w:r w:rsidRPr="009E759A">
        <w:rPr>
          <w:rFonts w:ascii="Times New Roman" w:eastAsia="Times New Roman" w:hAnsi="Times New Roman" w:cs="Times New Roman"/>
          <w:sz w:val="18"/>
          <w:szCs w:val="18"/>
          <w:lang w:eastAsia="zh-CN"/>
        </w:rPr>
        <w:t>Goniewicz</w:t>
      </w:r>
      <w:proofErr w:type="spellEnd"/>
      <w:r w:rsidRPr="009E759A">
        <w:rPr>
          <w:rFonts w:ascii="Times New Roman" w:eastAsia="Times New Roman" w:hAnsi="Times New Roman" w:cs="Times New Roman"/>
          <w:sz w:val="18"/>
          <w:szCs w:val="18"/>
          <w:lang w:eastAsia="zh-CN"/>
        </w:rPr>
        <w:t>, Mariusz, Pierwsza pomoc: podręcznik dla studentów / Wydawnictwo Lekarskie PZWL, Warszawa 2015</w:t>
      </w:r>
    </w:p>
    <w:p w:rsidR="00684325" w:rsidRPr="00684325" w:rsidRDefault="00684325" w:rsidP="00684325">
      <w:pPr>
        <w:spacing w:after="0" w:line="240" w:lineRule="auto"/>
        <w:ind w:left="737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 </w:t>
      </w:r>
    </w:p>
    <w:p w:rsidR="00684325" w:rsidRPr="00684325" w:rsidRDefault="00684325" w:rsidP="00684325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8432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4. Nakład pracy studenta - bilans punktów ECTS</w:t>
      </w:r>
    </w:p>
    <w:p w:rsidR="00684325" w:rsidRPr="00684325" w:rsidRDefault="00684325" w:rsidP="006843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633"/>
        <w:gridCol w:w="1634"/>
      </w:tblGrid>
      <w:tr w:rsidR="00002BAE" w:rsidRPr="00684325" w:rsidTr="00002BAE">
        <w:trPr>
          <w:trHeight w:val="221"/>
        </w:trPr>
        <w:tc>
          <w:tcPr>
            <w:tcW w:w="54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Student’s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activity</w:t>
            </w:r>
            <w:proofErr w:type="spellEnd"/>
          </w:p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3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Obciążenie studenta</w:t>
            </w:r>
          </w:p>
        </w:tc>
      </w:tr>
      <w:tr w:rsidR="00002BAE" w:rsidRPr="00684325" w:rsidTr="00002BAE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002BAE" w:rsidRPr="00684325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NST</w:t>
            </w:r>
          </w:p>
        </w:tc>
      </w:tr>
      <w:tr w:rsidR="00002BAE" w:rsidRPr="00684325" w:rsidTr="00002BAE">
        <w:trPr>
          <w:trHeight w:val="46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CONTACT HOURS (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activities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that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require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direct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participation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of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academic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teacher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)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495"/>
        </w:trPr>
        <w:tc>
          <w:tcPr>
            <w:tcW w:w="54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Classes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provided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by the study plan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270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STUDENT’S OWN WORK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294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for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,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of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project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work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/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presentations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/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etc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355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Preparation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for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passing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the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classes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02BAE" w:rsidRPr="00684325" w:rsidTr="00002BAE">
        <w:trPr>
          <w:trHeight w:val="240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TOTAL STUDENT WORKLOAD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02BAE" w:rsidRPr="00684325" w:rsidTr="00002BAE">
        <w:trPr>
          <w:trHeight w:val="272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002BAE" w:rsidRDefault="00002BAE" w:rsidP="00002BA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Credits</w:t>
            </w:r>
            <w:proofErr w:type="spellEnd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(ECTS) for a </w:t>
            </w:r>
            <w:proofErr w:type="spellStart"/>
            <w:r w:rsidRPr="00002BA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subject</w:t>
            </w:r>
            <w:proofErr w:type="spellEnd"/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BAE" w:rsidRPr="00684325" w:rsidRDefault="00002BAE" w:rsidP="00002BAE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84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684325" w:rsidRPr="00684325" w:rsidRDefault="00684325" w:rsidP="006843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432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002BAE" w:rsidRPr="00684325" w:rsidTr="00684325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D03F4D" w:rsidRDefault="00002BAE" w:rsidP="00002BAE">
            <w:proofErr w:type="spellStart"/>
            <w:r w:rsidRPr="00D03F4D">
              <w:t>Date</w:t>
            </w:r>
            <w:proofErr w:type="spellEnd"/>
            <w:r w:rsidRPr="00D03F4D">
              <w:t xml:space="preserve"> of </w:t>
            </w:r>
            <w:proofErr w:type="spellStart"/>
            <w:r w:rsidRPr="00D03F4D">
              <w:t>last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change</w:t>
            </w:r>
            <w:proofErr w:type="spellEnd"/>
            <w:r w:rsidRPr="00D03F4D">
              <w:t xml:space="preserve"> 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30.09.2024</w:t>
            </w:r>
          </w:p>
        </w:tc>
      </w:tr>
      <w:tr w:rsidR="00002BAE" w:rsidRPr="00684325" w:rsidTr="00684325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D03F4D" w:rsidRDefault="00002BAE" w:rsidP="00002BAE">
            <w:proofErr w:type="spellStart"/>
            <w:r w:rsidRPr="00D03F4D">
              <w:t>Changes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introduced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ds. Jakości Kształcenia ZAZ</w:t>
            </w:r>
          </w:p>
        </w:tc>
      </w:tr>
      <w:tr w:rsidR="00002BAE" w:rsidRPr="00684325" w:rsidTr="00684325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Default="00002BAE" w:rsidP="00002BAE">
            <w:proofErr w:type="spellStart"/>
            <w:r w:rsidRPr="00D03F4D">
              <w:t>Changes</w:t>
            </w:r>
            <w:proofErr w:type="spellEnd"/>
            <w:r w:rsidRPr="00D03F4D">
              <w:t xml:space="preserve"> </w:t>
            </w:r>
            <w:proofErr w:type="spellStart"/>
            <w:r w:rsidRPr="00D03F4D">
              <w:t>approved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AE" w:rsidRPr="00684325" w:rsidRDefault="00002BAE" w:rsidP="00002BAE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32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Mgr Anna Bielak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E36ED1"/>
    <w:multiLevelType w:val="hybridMultilevel"/>
    <w:tmpl w:val="2866413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5"/>
    <w:rsid w:val="00002BAE"/>
    <w:rsid w:val="0056060C"/>
    <w:rsid w:val="00684325"/>
    <w:rsid w:val="0094778C"/>
    <w:rsid w:val="009E759A"/>
    <w:rsid w:val="00D929D1"/>
    <w:rsid w:val="00F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51CB"/>
  <w15:chartTrackingRefBased/>
  <w15:docId w15:val="{081CDD5E-DCC8-4AA2-BEB4-A577B0E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y">
    <w:name w:val="Podpunkty"/>
    <w:basedOn w:val="Tekstpodstawowy"/>
    <w:rsid w:val="009E759A"/>
    <w:pPr>
      <w:tabs>
        <w:tab w:val="left" w:pos="-5814"/>
      </w:tabs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5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Małgorzata Kruszyńska</cp:lastModifiedBy>
  <cp:revision>6</cp:revision>
  <dcterms:created xsi:type="dcterms:W3CDTF">2024-11-14T10:40:00Z</dcterms:created>
  <dcterms:modified xsi:type="dcterms:W3CDTF">2025-01-20T09:01:00Z</dcterms:modified>
</cp:coreProperties>
</file>